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Куандинского трёхмандатного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7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99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Шелопугина С.А.,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регионального отделения Всероссийской политической партии «ЕДИНАЯ РОССИЯ»,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Куандинскому трёхмандатному избирательному 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Шелопугина С.А.,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Куандинскому трёхмандатному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Шелопугина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Шелопугина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Сергея Андреевича, 1987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мастера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Куандинского участка Читинского РЭС производственного отделения Центральные электрические сети филиала публичного акционерного общества «Россети Сибирь» - «Читаэнерго»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п. ст. Куанда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Бамовскому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7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Куандинскому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Шелопугину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С.А.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 xml:space="preserve">а официальной странице Каларской районной территориальной избирательной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комиссии в информационно-телекоммуникационной сети «Интернет».</w:t>
      </w:r>
    </w:p>
    <w:p w14:paraId="5EFB0879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1520FEA"/>
    <w:rsid w:val="05C90F80"/>
    <w:rsid w:val="0D986A0E"/>
    <w:rsid w:val="130F163D"/>
    <w:rsid w:val="131F34C1"/>
    <w:rsid w:val="13620E0E"/>
    <w:rsid w:val="1481595A"/>
    <w:rsid w:val="1A1E077B"/>
    <w:rsid w:val="211D249C"/>
    <w:rsid w:val="26E118E8"/>
    <w:rsid w:val="27247C2B"/>
    <w:rsid w:val="2E8F44C7"/>
    <w:rsid w:val="3D5E0422"/>
    <w:rsid w:val="3DC30466"/>
    <w:rsid w:val="410A466A"/>
    <w:rsid w:val="503349D9"/>
    <w:rsid w:val="521D437A"/>
    <w:rsid w:val="52391A09"/>
    <w:rsid w:val="527A7269"/>
    <w:rsid w:val="528F742D"/>
    <w:rsid w:val="53D8710E"/>
    <w:rsid w:val="57D028AE"/>
    <w:rsid w:val="6F7E6EAA"/>
    <w:rsid w:val="701A03CB"/>
    <w:rsid w:val="749A33B3"/>
    <w:rsid w:val="75A23A3E"/>
    <w:rsid w:val="7803616C"/>
    <w:rsid w:val="78E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226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2025-08-06T14:31:00Z</cp:lastPrinted>
  <dcterms:modified xsi:type="dcterms:W3CDTF">2025-08-07T09:30:15Z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